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4C4F3500" w:rsidR="00D0573B" w:rsidRPr="00D73F8E" w:rsidRDefault="00D0573B" w:rsidP="00CF14A8">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D73F8E">
        <w:rPr>
          <w:rFonts w:cs="Arial"/>
          <w:b/>
          <w:sz w:val="22"/>
          <w:szCs w:val="22"/>
          <w:lang w:val="en-US"/>
        </w:rPr>
        <w:t>3GPP TSG-RAN WG2 #</w:t>
      </w:r>
      <w:r w:rsidR="00D71ACE" w:rsidRPr="00D73F8E">
        <w:rPr>
          <w:rFonts w:cs="Arial"/>
          <w:b/>
          <w:sz w:val="22"/>
          <w:szCs w:val="22"/>
          <w:lang w:val="en-US"/>
        </w:rPr>
        <w:t>12</w:t>
      </w:r>
      <w:r w:rsidR="002A275D" w:rsidRPr="00D73F8E">
        <w:rPr>
          <w:rFonts w:cs="Arial"/>
          <w:b/>
          <w:sz w:val="22"/>
          <w:szCs w:val="22"/>
          <w:lang w:val="en-US"/>
        </w:rPr>
        <w:t>5</w:t>
      </w:r>
      <w:r w:rsidRPr="00D73F8E">
        <w:rPr>
          <w:rFonts w:cs="Arial"/>
          <w:b/>
          <w:i/>
          <w:sz w:val="22"/>
          <w:szCs w:val="22"/>
          <w:lang w:val="en-US"/>
        </w:rPr>
        <w:tab/>
      </w:r>
      <w:r w:rsidR="004E0B56" w:rsidRPr="00D73F8E">
        <w:rPr>
          <w:rFonts w:cs="Arial"/>
          <w:b/>
          <w:i/>
          <w:sz w:val="22"/>
          <w:szCs w:val="22"/>
          <w:lang w:val="en-US" w:eastAsia="zh-CN"/>
        </w:rPr>
        <w:t>R2-</w:t>
      </w:r>
      <w:r w:rsidR="00B61478" w:rsidRPr="00D73F8E">
        <w:rPr>
          <w:rFonts w:cs="Arial"/>
          <w:b/>
          <w:i/>
          <w:sz w:val="22"/>
          <w:szCs w:val="22"/>
          <w:lang w:val="en-US" w:eastAsia="zh-CN"/>
        </w:rPr>
        <w:t>2</w:t>
      </w:r>
      <w:r w:rsidR="002A275D" w:rsidRPr="00D73F8E">
        <w:rPr>
          <w:rFonts w:cs="Arial"/>
          <w:b/>
          <w:i/>
          <w:sz w:val="22"/>
          <w:szCs w:val="22"/>
          <w:lang w:val="en-US" w:eastAsia="zh-CN"/>
        </w:rPr>
        <w:t>400235</w:t>
      </w:r>
    </w:p>
    <w:p w14:paraId="540B9A86" w14:textId="6FC50844" w:rsidR="00D0573B" w:rsidRPr="00D73F8E" w:rsidRDefault="002A275D">
      <w:pPr>
        <w:tabs>
          <w:tab w:val="left" w:pos="1701"/>
          <w:tab w:val="right" w:pos="9639"/>
        </w:tabs>
        <w:spacing w:after="0"/>
        <w:rPr>
          <w:rFonts w:cs="Arial"/>
          <w:b/>
          <w:color w:val="000000"/>
          <w:kern w:val="2"/>
          <w:sz w:val="24"/>
        </w:rPr>
      </w:pPr>
      <w:r w:rsidRPr="00D73F8E">
        <w:rPr>
          <w:rFonts w:cs="Arial"/>
          <w:b/>
          <w:sz w:val="22"/>
          <w:szCs w:val="22"/>
          <w:lang w:val="en-US"/>
        </w:rPr>
        <w:t xml:space="preserve">Athens, Greece, </w:t>
      </w:r>
      <w:proofErr w:type="gramStart"/>
      <w:r w:rsidR="00D73F8E" w:rsidRPr="00D73F8E">
        <w:rPr>
          <w:rFonts w:cs="Arial"/>
          <w:b/>
          <w:sz w:val="22"/>
          <w:szCs w:val="22"/>
          <w:lang w:val="en-US"/>
        </w:rPr>
        <w:t>February,</w:t>
      </w:r>
      <w:proofErr w:type="gramEnd"/>
      <w:r w:rsidR="00D73F8E" w:rsidRPr="00D73F8E">
        <w:rPr>
          <w:rFonts w:cs="Arial"/>
          <w:b/>
          <w:sz w:val="22"/>
          <w:szCs w:val="22"/>
          <w:lang w:val="en-US"/>
        </w:rPr>
        <w:t xml:space="preserve"> 2024</w:t>
      </w:r>
      <w:r w:rsidR="00D0573B" w:rsidRPr="00D73F8E">
        <w:rPr>
          <w:rFonts w:cs="Arial"/>
          <w:b/>
          <w:sz w:val="22"/>
          <w:szCs w:val="22"/>
          <w:lang w:val="en-US"/>
        </w:rPr>
        <w:tab/>
      </w:r>
      <w:bookmarkEnd w:id="0"/>
      <w:bookmarkEnd w:id="1"/>
      <w:bookmarkEnd w:id="2"/>
      <w:bookmarkEnd w:id="3"/>
    </w:p>
    <w:p w14:paraId="5C33DD98" w14:textId="77777777" w:rsidR="00D0573B" w:rsidRPr="00D73F8E" w:rsidRDefault="00D0573B">
      <w:pPr>
        <w:tabs>
          <w:tab w:val="left" w:pos="1701"/>
          <w:tab w:val="right" w:pos="9639"/>
        </w:tabs>
        <w:spacing w:before="100" w:beforeAutospacing="1" w:after="100" w:afterAutospacing="1"/>
        <w:rPr>
          <w:rFonts w:cs="Arial"/>
          <w:b/>
          <w:color w:val="000000"/>
          <w:kern w:val="2"/>
          <w:sz w:val="24"/>
        </w:rPr>
      </w:pPr>
    </w:p>
    <w:p w14:paraId="4CC90508" w14:textId="4050EB56" w:rsidR="00D0573B" w:rsidRDefault="00D0573B">
      <w:pPr>
        <w:pStyle w:val="3GPPHeader"/>
        <w:rPr>
          <w:sz w:val="22"/>
          <w:szCs w:val="22"/>
        </w:rPr>
      </w:pPr>
      <w:r w:rsidRPr="00D73F8E">
        <w:rPr>
          <w:sz w:val="22"/>
          <w:szCs w:val="22"/>
        </w:rPr>
        <w:t>Agenda Item:</w:t>
      </w:r>
      <w:r w:rsidRPr="00D73F8E">
        <w:rPr>
          <w:sz w:val="22"/>
          <w:szCs w:val="22"/>
        </w:rPr>
        <w:tab/>
      </w:r>
      <w:r w:rsidR="004E0B56" w:rsidRPr="00D73F8E">
        <w:rPr>
          <w:sz w:val="22"/>
          <w:szCs w:val="22"/>
        </w:rPr>
        <w:t>7.</w:t>
      </w:r>
      <w:r w:rsidR="009A4B9C" w:rsidRPr="00D73F8E">
        <w:rPr>
          <w:sz w:val="22"/>
          <w:szCs w:val="22"/>
        </w:rPr>
        <w:t>25.1.7</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2AF00E5" w:rsidR="00D0573B" w:rsidRDefault="00D0573B">
      <w:pPr>
        <w:pStyle w:val="3GPPHeader"/>
        <w:rPr>
          <w:sz w:val="22"/>
          <w:szCs w:val="22"/>
        </w:rPr>
      </w:pPr>
      <w:r>
        <w:rPr>
          <w:sz w:val="22"/>
          <w:szCs w:val="22"/>
        </w:rPr>
        <w:t>Title:</w:t>
      </w:r>
      <w:r>
        <w:rPr>
          <w:sz w:val="22"/>
          <w:szCs w:val="22"/>
        </w:rPr>
        <w:tab/>
      </w:r>
      <w:r w:rsidR="007A7FE3">
        <w:rPr>
          <w:sz w:val="22"/>
          <w:szCs w:val="22"/>
        </w:rPr>
        <w:t xml:space="preserve">Left issue on </w:t>
      </w:r>
      <w:r w:rsidR="00CF14A8">
        <w:rPr>
          <w:sz w:val="22"/>
          <w:szCs w:val="22"/>
        </w:rPr>
        <w:t>per-BC-per-band Tx diversity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614529AC" w14:textId="535F32B9" w:rsidR="006C3A75"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7A7FE3">
        <w:rPr>
          <w:rFonts w:cs="Arial"/>
        </w:rPr>
        <w:t xml:space="preserve">left issue from </w:t>
      </w:r>
      <w:r w:rsidR="00CF14A8" w:rsidRPr="00CF14A8">
        <w:rPr>
          <w:rFonts w:cs="Arial"/>
        </w:rPr>
        <w:t>R4-23</w:t>
      </w:r>
      <w:r w:rsidR="00755D1C">
        <w:rPr>
          <w:rFonts w:cs="Arial"/>
        </w:rPr>
        <w:t>21983</w:t>
      </w:r>
      <w:r w:rsidR="007A7FE3">
        <w:rPr>
          <w:rFonts w:cs="Arial"/>
        </w:rPr>
        <w:t>.</w:t>
      </w:r>
    </w:p>
    <w:bookmarkEnd w:id="5"/>
    <w:p w14:paraId="23312DF5" w14:textId="2AE4438C" w:rsidR="00D0573B" w:rsidRDefault="007E5320" w:rsidP="005662A3">
      <w:pPr>
        <w:pStyle w:val="1"/>
        <w:ind w:left="720" w:hangingChars="200" w:hanging="720"/>
        <w:jc w:val="both"/>
      </w:pPr>
      <w:r>
        <w:t>Discussion</w:t>
      </w:r>
    </w:p>
    <w:p w14:paraId="0C2091B2" w14:textId="689391B2" w:rsidR="00755D1C" w:rsidRDefault="00755D1C" w:rsidP="00755D1C">
      <w:r>
        <w:rPr>
          <w:rFonts w:hint="eastAsia"/>
        </w:rPr>
        <w:t>I</w:t>
      </w:r>
      <w:r>
        <w:t>n 1983</w:t>
      </w:r>
    </w:p>
    <w:p w14:paraId="05261083" w14:textId="1F133E85" w:rsidR="00755D1C" w:rsidRDefault="00755D1C" w:rsidP="00755D1C">
      <w:pPr>
        <w:pBdr>
          <w:top w:val="single" w:sz="4" w:space="1" w:color="auto"/>
          <w:left w:val="single" w:sz="4" w:space="4" w:color="auto"/>
          <w:bottom w:val="single" w:sz="4" w:space="1" w:color="auto"/>
          <w:right w:val="single" w:sz="4" w:space="4" w:color="auto"/>
        </w:pBdr>
      </w:pPr>
      <w:r>
        <w:t xml:space="preserve">- In case only txDiversity-r16 is indicated for a single band, it means UE can support </w:t>
      </w:r>
      <w:proofErr w:type="spellStart"/>
      <w:r>
        <w:t>TxD</w:t>
      </w:r>
      <w:proofErr w:type="spellEnd"/>
      <w:r>
        <w:t xml:space="preserve"> capability for this single </w:t>
      </w:r>
      <w:proofErr w:type="gramStart"/>
      <w:r>
        <w:t>band;</w:t>
      </w:r>
      <w:proofErr w:type="gramEnd"/>
    </w:p>
    <w:p w14:paraId="1554D600" w14:textId="61D4DFBC" w:rsidR="00755D1C" w:rsidRDefault="00755D1C" w:rsidP="00755D1C">
      <w:pPr>
        <w:pBdr>
          <w:top w:val="single" w:sz="4" w:space="1" w:color="auto"/>
          <w:left w:val="single" w:sz="4" w:space="4" w:color="auto"/>
          <w:bottom w:val="single" w:sz="4" w:space="1" w:color="auto"/>
          <w:right w:val="single" w:sz="4" w:space="4" w:color="auto"/>
        </w:pBdr>
      </w:pPr>
      <w:r>
        <w:t xml:space="preserve">- </w:t>
      </w:r>
      <w:r w:rsidRPr="00755D1C">
        <w:rPr>
          <w:highlight w:val="yellow"/>
        </w:rPr>
        <w:t xml:space="preserve">In case only [txDiversity2Tx-r18] is indicated for a single band band-combination (as the size of </w:t>
      </w:r>
      <w:proofErr w:type="spellStart"/>
      <w:r w:rsidRPr="00755D1C">
        <w:rPr>
          <w:highlight w:val="yellow"/>
        </w:rPr>
        <w:t>BandCombinationList</w:t>
      </w:r>
      <w:proofErr w:type="spellEnd"/>
      <w:r w:rsidRPr="00755D1C">
        <w:rPr>
          <w:highlight w:val="yellow"/>
        </w:rPr>
        <w:t xml:space="preserve"> can be 1)</w:t>
      </w:r>
      <w:r>
        <w:t xml:space="preserve">, it means UE can support </w:t>
      </w:r>
      <w:proofErr w:type="spellStart"/>
      <w:r>
        <w:t>TxD</w:t>
      </w:r>
      <w:proofErr w:type="spellEnd"/>
      <w:r>
        <w:t xml:space="preserve"> capability for this single </w:t>
      </w:r>
      <w:proofErr w:type="gramStart"/>
      <w:r>
        <w:t>band;</w:t>
      </w:r>
      <w:proofErr w:type="gramEnd"/>
    </w:p>
    <w:p w14:paraId="6DB6C670" w14:textId="46AF687B" w:rsidR="00755D1C" w:rsidRDefault="00755D1C" w:rsidP="00755D1C">
      <w:r>
        <w:rPr>
          <w:rFonts w:hint="eastAsia"/>
        </w:rPr>
        <w:t>A</w:t>
      </w:r>
      <w:r>
        <w:t xml:space="preserve">lthough a condition is defined as </w:t>
      </w:r>
      <w:r w:rsidRPr="00755D1C">
        <w:rPr>
          <w:highlight w:val="yellow"/>
        </w:rPr>
        <w:t>above</w:t>
      </w:r>
      <w:r>
        <w:t xml:space="preserve">, for the applicability of r18 field to the single band case, based on the description </w:t>
      </w:r>
      <w:proofErr w:type="gramStart"/>
      <w:r>
        <w:t>below</w:t>
      </w:r>
      <w:proofErr w:type="gramEnd"/>
    </w:p>
    <w:p w14:paraId="30C8C0B3" w14:textId="462C9FC7" w:rsidR="00755D1C" w:rsidRDefault="0080417E" w:rsidP="0080417E">
      <w:pPr>
        <w:pBdr>
          <w:top w:val="single" w:sz="4" w:space="1" w:color="auto"/>
          <w:left w:val="single" w:sz="4" w:space="4" w:color="auto"/>
          <w:bottom w:val="single" w:sz="4" w:space="1" w:color="auto"/>
          <w:right w:val="single" w:sz="4" w:space="4" w:color="auto"/>
        </w:pBdr>
      </w:pPr>
      <w:r w:rsidRPr="0080417E">
        <w:t>1) New Rel-18 FS [txDiversity2Tx-r18] is applicable for both single band (non-CA) case and CA case.</w:t>
      </w:r>
    </w:p>
    <w:p w14:paraId="7ABFBA6F" w14:textId="41FFE5C7" w:rsidR="0080417E" w:rsidRDefault="0080417E" w:rsidP="00755D1C">
      <w:r>
        <w:rPr>
          <w:rFonts w:hint="eastAsia"/>
        </w:rPr>
        <w:t>I</w:t>
      </w:r>
      <w:r>
        <w:t xml:space="preserve">t means that for a BC including more than 1 band, and if r18 field is present, it shall apply to the fallback case of this BC, i.e., including the single-band case. </w:t>
      </w:r>
    </w:p>
    <w:p w14:paraId="674A1C34" w14:textId="124A81CC" w:rsidR="0080417E" w:rsidRDefault="0080417E" w:rsidP="0080417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58644634"/>
      <w:r>
        <w:rPr>
          <w:rFonts w:hint="eastAsia"/>
        </w:rPr>
        <w:t>R</w:t>
      </w:r>
      <w:r>
        <w:t>2 confirm the r18 field, when present for a muti-band</w:t>
      </w:r>
      <w:r w:rsidR="00A64A40">
        <w:t xml:space="preserve"> or multi-carrier</w:t>
      </w:r>
      <w:r>
        <w:t xml:space="preserve"> BC, also applies to the fallback BC (i.e., including the single-band, non-CA case).</w:t>
      </w:r>
      <w:bookmarkEnd w:id="6"/>
    </w:p>
    <w:p w14:paraId="488DD0CF" w14:textId="10A0AC3A" w:rsidR="0080417E" w:rsidRDefault="008F5DBB" w:rsidP="00755D1C">
      <w:r>
        <w:rPr>
          <w:rFonts w:hint="eastAsia"/>
        </w:rPr>
        <w:t>A</w:t>
      </w:r>
      <w:r>
        <w:t xml:space="preserve">nother issue </w:t>
      </w:r>
      <w:proofErr w:type="gramStart"/>
      <w:r>
        <w:t>is</w:t>
      </w:r>
      <w:proofErr w:type="gramEnd"/>
    </w:p>
    <w:p w14:paraId="1E9A7B47" w14:textId="4665922C" w:rsidR="008F5DBB" w:rsidRDefault="008F5DBB" w:rsidP="00D73F8E">
      <w:pPr>
        <w:pStyle w:val="af7"/>
        <w:numPr>
          <w:ilvl w:val="0"/>
          <w:numId w:val="16"/>
        </w:numPr>
        <w:pBdr>
          <w:top w:val="single" w:sz="4" w:space="1" w:color="auto"/>
          <w:left w:val="single" w:sz="4" w:space="4" w:color="auto"/>
          <w:bottom w:val="single" w:sz="4" w:space="1" w:color="auto"/>
          <w:right w:val="single" w:sz="4" w:space="4" w:color="auto"/>
        </w:pBdr>
      </w:pPr>
      <w:r w:rsidRPr="008F5DBB">
        <w:t>It is not always necessary for UE to indicate both txDiversity-r16 and [txDiversity2Tx-r18] for a single band, depending on UE release and NW release combination the correct diversity term is supposed to be indicated.</w:t>
      </w:r>
    </w:p>
    <w:p w14:paraId="7C7719CB" w14:textId="33326AC4" w:rsidR="008F5DBB" w:rsidRDefault="008F5DBB" w:rsidP="00755D1C">
      <w:r>
        <w:rPr>
          <w:rFonts w:hint="eastAsia"/>
        </w:rPr>
        <w:t>I</w:t>
      </w:r>
      <w:r>
        <w:t xml:space="preserve">t would be helpful to further split the </w:t>
      </w:r>
      <w:proofErr w:type="gramStart"/>
      <w:r>
        <w:t>cases</w:t>
      </w:r>
      <w:proofErr w:type="gramEnd"/>
    </w:p>
    <w:p w14:paraId="3BE6A6DF" w14:textId="2AF01027" w:rsidR="008F5DBB" w:rsidRDefault="008F5DBB" w:rsidP="00D73F8E">
      <w:pPr>
        <w:pStyle w:val="af7"/>
        <w:numPr>
          <w:ilvl w:val="0"/>
          <w:numId w:val="17"/>
        </w:numPr>
      </w:pPr>
      <w:r>
        <w:rPr>
          <w:rFonts w:hint="eastAsia"/>
        </w:rPr>
        <w:t>C</w:t>
      </w:r>
      <w:r>
        <w:t xml:space="preserve">ase-1: Only r16 field is </w:t>
      </w:r>
      <w:proofErr w:type="gramStart"/>
      <w:r>
        <w:t>reported</w:t>
      </w:r>
      <w:proofErr w:type="gramEnd"/>
    </w:p>
    <w:p w14:paraId="1956DAFD" w14:textId="38CC7C43" w:rsidR="008F5DBB" w:rsidRDefault="008F5DBB" w:rsidP="00D73F8E">
      <w:pPr>
        <w:pStyle w:val="af7"/>
        <w:numPr>
          <w:ilvl w:val="0"/>
          <w:numId w:val="17"/>
        </w:numPr>
      </w:pPr>
      <w:r>
        <w:rPr>
          <w:rFonts w:hint="eastAsia"/>
        </w:rPr>
        <w:t>C</w:t>
      </w:r>
      <w:r>
        <w:t>ase-2: Both r16 and r18 field are reported (i.e., r16 field is reported for band-A, r18 field is also reported for a BC including at least band-A)</w:t>
      </w:r>
    </w:p>
    <w:p w14:paraId="6A051B9B" w14:textId="6B4B5D03" w:rsidR="008F5DBB" w:rsidRDefault="008F5DBB" w:rsidP="00D73F8E">
      <w:pPr>
        <w:pStyle w:val="af7"/>
        <w:numPr>
          <w:ilvl w:val="0"/>
          <w:numId w:val="17"/>
        </w:numPr>
      </w:pPr>
      <w:r>
        <w:rPr>
          <w:rFonts w:hint="eastAsia"/>
        </w:rPr>
        <w:t>C</w:t>
      </w:r>
      <w:r>
        <w:t>ase-3: only r18 field is reported (i.e., r16 field is not reported for band-A, but r18 field is reported for a BC including at least band-A)</w:t>
      </w:r>
    </w:p>
    <w:p w14:paraId="315DCC61" w14:textId="3514F5F5" w:rsidR="008F5DBB" w:rsidRDefault="008F5DBB" w:rsidP="00755D1C">
      <w:r>
        <w:t xml:space="preserve">Where Case-3 is not feasible, since </w:t>
      </w:r>
      <w:r w:rsidR="000B52E0">
        <w:t xml:space="preserve">without knowing the release of the </w:t>
      </w:r>
      <w:proofErr w:type="spellStart"/>
      <w:r w:rsidR="000B52E0">
        <w:t>gNB</w:t>
      </w:r>
      <w:proofErr w:type="spellEnd"/>
      <w:r w:rsidR="000B52E0">
        <w:t>, it would be always safer for UE to implement Case-2 rather than Case-3.</w:t>
      </w:r>
    </w:p>
    <w:p w14:paraId="7A9D27F7" w14:textId="53AC966C" w:rsidR="008D5273" w:rsidRDefault="008D5273" w:rsidP="00755D1C">
      <w:r>
        <w:rPr>
          <w:rFonts w:hint="eastAsia"/>
        </w:rPr>
        <w:t>B</w:t>
      </w:r>
      <w:r>
        <w:t>ut then R4 clarified that</w:t>
      </w:r>
    </w:p>
    <w:p w14:paraId="4B8AD191" w14:textId="39EAED45" w:rsidR="008D5273" w:rsidRDefault="008D5273" w:rsidP="008D5273">
      <w:pPr>
        <w:pBdr>
          <w:top w:val="single" w:sz="4" w:space="1" w:color="auto"/>
          <w:left w:val="single" w:sz="4" w:space="4" w:color="auto"/>
          <w:bottom w:val="single" w:sz="4" w:space="1" w:color="auto"/>
          <w:right w:val="single" w:sz="4" w:space="4" w:color="auto"/>
        </w:pBdr>
      </w:pPr>
      <w:r w:rsidRPr="008D5273">
        <w:t xml:space="preserve">4) RAN4 discuss the interaction between txDiversity-r16 and [txDiversity2Tx-r18], and assume that there will be no functional NBC issue since </w:t>
      </w:r>
      <w:proofErr w:type="spellStart"/>
      <w:r w:rsidRPr="008D5273">
        <w:t>TxD</w:t>
      </w:r>
      <w:proofErr w:type="spellEnd"/>
      <w:r w:rsidRPr="008D5273">
        <w:t xml:space="preserve"> is transparent to NW.</w:t>
      </w:r>
    </w:p>
    <w:p w14:paraId="1E7A19DD" w14:textId="655D5FB3" w:rsidR="008D5273" w:rsidRPr="008D5273" w:rsidRDefault="008D5273" w:rsidP="008D5273">
      <w:proofErr w:type="gramStart"/>
      <w:r>
        <w:rPr>
          <w:rFonts w:hint="eastAsia"/>
        </w:rPr>
        <w:t>S</w:t>
      </w:r>
      <w:r>
        <w:t>o</w:t>
      </w:r>
      <w:proofErr w:type="gramEnd"/>
      <w:r>
        <w:t xml:space="preserve"> it is not clear whether case-3 should be allowed.</w:t>
      </w:r>
    </w:p>
    <w:p w14:paraId="450709A1" w14:textId="42961A17" w:rsidR="000B52E0" w:rsidRPr="00755D1C" w:rsidRDefault="008D5273" w:rsidP="000B52E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58644635"/>
      <w:r>
        <w:lastRenderedPageBreak/>
        <w:t>R2 discuss whether it is allowed for UE: r16 field is not reported for band-A, but r18 field is reported for a BC including at least band-A</w:t>
      </w:r>
      <w:r w:rsidR="000B52E0">
        <w:t>.</w:t>
      </w:r>
      <w:bookmarkEnd w:id="7"/>
    </w:p>
    <w:p w14:paraId="299661FD" w14:textId="48F31873" w:rsidR="006C3A75" w:rsidRDefault="006C3A75" w:rsidP="0051148A"/>
    <w:p w14:paraId="121B23D8" w14:textId="77777777" w:rsidR="00D0573B" w:rsidRDefault="00D0573B">
      <w:pPr>
        <w:pStyle w:val="1"/>
      </w:pPr>
      <w:bookmarkStart w:id="8" w:name="_Toc130285439"/>
      <w:bookmarkStart w:id="9" w:name="_Toc130285440"/>
      <w:bookmarkStart w:id="10" w:name="_Toc130285457"/>
      <w:bookmarkStart w:id="11" w:name="_Toc130285467"/>
      <w:bookmarkStart w:id="12" w:name="_Toc130285468"/>
      <w:bookmarkStart w:id="13" w:name="_Toc130285478"/>
      <w:bookmarkStart w:id="14" w:name="_Toc130285494"/>
      <w:bookmarkStart w:id="15" w:name="_Toc130285510"/>
      <w:bookmarkStart w:id="16" w:name="_Toc130285526"/>
      <w:bookmarkStart w:id="17" w:name="_Toc130285542"/>
      <w:bookmarkStart w:id="18" w:name="_Toc130285552"/>
      <w:bookmarkStart w:id="19" w:name="_Toc130285553"/>
      <w:bookmarkStart w:id="20" w:name="_Toc130285554"/>
      <w:bookmarkStart w:id="21" w:name="_Toc130285555"/>
      <w:bookmarkStart w:id="22" w:name="_Toc130285556"/>
      <w:bookmarkStart w:id="23" w:name="_Toc130285557"/>
      <w:bookmarkStart w:id="24" w:name="_Toc130285558"/>
      <w:bookmarkStart w:id="25" w:name="_Toc130285566"/>
      <w:bookmarkStart w:id="26" w:name="_Toc130285567"/>
      <w:bookmarkStart w:id="27" w:name="_Toc130285568"/>
      <w:bookmarkStart w:id="28" w:name="_Toc130285569"/>
      <w:bookmarkStart w:id="29" w:name="_Toc130285570"/>
      <w:bookmarkStart w:id="30" w:name="_Toc130285571"/>
      <w:bookmarkStart w:id="31" w:name="_Toc130285572"/>
      <w:bookmarkStart w:id="32" w:name="_Toc130285573"/>
      <w:bookmarkStart w:id="33" w:name="_Toc130285574"/>
      <w:bookmarkStart w:id="34" w:name="_Toc130285575"/>
      <w:bookmarkStart w:id="35" w:name="_Toc130285588"/>
      <w:bookmarkStart w:id="36" w:name="_Toc130285589"/>
      <w:bookmarkStart w:id="37" w:name="_Toc130285590"/>
      <w:bookmarkStart w:id="38" w:name="_Toc130285591"/>
      <w:bookmarkStart w:id="39" w:name="_Toc130285592"/>
      <w:bookmarkStart w:id="40" w:name="_Toc130285593"/>
      <w:bookmarkStart w:id="41" w:name="_Toc130285594"/>
      <w:bookmarkStart w:id="42" w:name="_Toc130285595"/>
      <w:bookmarkStart w:id="43" w:name="_Toc130285596"/>
      <w:bookmarkStart w:id="44" w:name="_Toc130285597"/>
      <w:bookmarkStart w:id="45" w:name="_Toc130285598"/>
      <w:bookmarkStart w:id="46" w:name="_Toc130285599"/>
      <w:bookmarkStart w:id="47" w:name="_Toc130285600"/>
      <w:bookmarkStart w:id="48" w:name="_Toc130285601"/>
      <w:bookmarkStart w:id="49" w:name="_Toc130285602"/>
      <w:bookmarkStart w:id="50" w:name="_Toc130285603"/>
      <w:bookmarkStart w:id="51" w:name="_Toc130285604"/>
      <w:bookmarkStart w:id="52" w:name="_Toc130285605"/>
      <w:bookmarkStart w:id="53" w:name="_Toc130285606"/>
      <w:bookmarkStart w:id="54" w:name="_Toc130285607"/>
      <w:bookmarkStart w:id="55" w:name="_Toc130285608"/>
      <w:bookmarkStart w:id="56" w:name="_Toc130285609"/>
      <w:bookmarkStart w:id="57" w:name="_Toc130285610"/>
      <w:bookmarkStart w:id="58" w:name="_Toc130285611"/>
      <w:bookmarkStart w:id="59" w:name="_Toc130285612"/>
      <w:bookmarkStart w:id="60" w:name="_Toc130285613"/>
      <w:bookmarkStart w:id="61" w:name="_Toc130285614"/>
      <w:bookmarkStart w:id="62" w:name="_Toc130285615"/>
      <w:bookmarkStart w:id="63" w:name="_Toc122613820"/>
      <w:bookmarkStart w:id="64" w:name="_Toc122614375"/>
      <w:bookmarkStart w:id="65" w:name="_Toc122613821"/>
      <w:bookmarkStart w:id="66" w:name="_Toc122614376"/>
      <w:bookmarkStart w:id="67" w:name="_Toc122613822"/>
      <w:bookmarkStart w:id="68" w:name="_Toc122614377"/>
      <w:bookmarkStart w:id="69" w:name="_Toc122613823"/>
      <w:bookmarkStart w:id="70" w:name="_Toc122614378"/>
      <w:bookmarkStart w:id="71" w:name="_Toc122613824"/>
      <w:bookmarkStart w:id="72" w:name="_Toc122614379"/>
      <w:bookmarkStart w:id="73" w:name="_Toc122613825"/>
      <w:bookmarkStart w:id="74" w:name="_Toc122614380"/>
      <w:bookmarkStart w:id="75" w:name="_Toc122613826"/>
      <w:bookmarkStart w:id="76" w:name="_Toc122614381"/>
      <w:bookmarkStart w:id="77" w:name="_Toc122613827"/>
      <w:bookmarkStart w:id="78" w:name="_Toc122614382"/>
      <w:bookmarkStart w:id="79" w:name="_Toc122613828"/>
      <w:bookmarkStart w:id="80" w:name="_Toc122614383"/>
      <w:bookmarkStart w:id="81" w:name="_Toc122613829"/>
      <w:bookmarkStart w:id="82" w:name="_Toc122614384"/>
      <w:bookmarkStart w:id="83" w:name="_Toc122613830"/>
      <w:bookmarkStart w:id="84" w:name="_Toc122614385"/>
      <w:bookmarkStart w:id="85" w:name="_Toc122613831"/>
      <w:bookmarkStart w:id="86" w:name="_Toc122614386"/>
      <w:bookmarkStart w:id="87" w:name="_Toc122613832"/>
      <w:bookmarkStart w:id="88" w:name="_Toc122614387"/>
      <w:bookmarkStart w:id="89" w:name="_Toc122613833"/>
      <w:bookmarkStart w:id="90" w:name="_Toc122614388"/>
      <w:bookmarkStart w:id="91" w:name="_Toc122613834"/>
      <w:bookmarkStart w:id="92"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t>Conclusion</w:t>
      </w:r>
    </w:p>
    <w:p w14:paraId="363AC2BA" w14:textId="293756F6" w:rsidR="00D0573B" w:rsidRDefault="00D0573B">
      <w:r>
        <w:t>We have the following proposals:</w:t>
      </w:r>
    </w:p>
    <w:p w14:paraId="4D0333CE" w14:textId="77777777" w:rsidR="00D73F8E"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58644634" w:history="1">
        <w:r w:rsidR="00D73F8E" w:rsidRPr="00966AE7">
          <w:rPr>
            <w:rStyle w:val="a5"/>
            <w:noProof/>
          </w:rPr>
          <w:t>Proposal 1</w:t>
        </w:r>
        <w:r w:rsidR="00D73F8E">
          <w:rPr>
            <w:rFonts w:asciiTheme="minorHAnsi" w:eastAsiaTheme="minorEastAsia" w:hAnsiTheme="minorHAnsi" w:cstheme="minorBidi"/>
            <w:b w:val="0"/>
            <w:noProof/>
            <w:kern w:val="2"/>
            <w:sz w:val="21"/>
            <w14:ligatures w14:val="standardContextual"/>
          </w:rPr>
          <w:tab/>
        </w:r>
        <w:r w:rsidR="00D73F8E" w:rsidRPr="00966AE7">
          <w:rPr>
            <w:rStyle w:val="a5"/>
            <w:noProof/>
          </w:rPr>
          <w:t>R2 confirm the r18 field, when present for a muti-band or multi-carrier BC, also applies to the fallback BC (i.e., including the single-band, non-CA case).</w:t>
        </w:r>
      </w:hyperlink>
    </w:p>
    <w:p w14:paraId="0EE75016" w14:textId="77777777" w:rsidR="00D73F8E" w:rsidRDefault="00D73F8E">
      <w:pPr>
        <w:pStyle w:val="TOC1"/>
        <w:rPr>
          <w:rFonts w:asciiTheme="minorHAnsi" w:eastAsiaTheme="minorEastAsia" w:hAnsiTheme="minorHAnsi" w:cstheme="minorBidi"/>
          <w:b w:val="0"/>
          <w:noProof/>
          <w:kern w:val="2"/>
          <w:sz w:val="21"/>
          <w14:ligatures w14:val="standardContextual"/>
        </w:rPr>
      </w:pPr>
      <w:hyperlink w:anchor="_Toc158644635" w:history="1">
        <w:r w:rsidRPr="00966AE7">
          <w:rPr>
            <w:rStyle w:val="a5"/>
            <w:noProof/>
          </w:rPr>
          <w:t>Proposal 2</w:t>
        </w:r>
        <w:r>
          <w:rPr>
            <w:rFonts w:asciiTheme="minorHAnsi" w:eastAsiaTheme="minorEastAsia" w:hAnsiTheme="minorHAnsi" w:cstheme="minorBidi"/>
            <w:b w:val="0"/>
            <w:noProof/>
            <w:kern w:val="2"/>
            <w:sz w:val="21"/>
            <w14:ligatures w14:val="standardContextual"/>
          </w:rPr>
          <w:tab/>
        </w:r>
        <w:r w:rsidRPr="00966AE7">
          <w:rPr>
            <w:rStyle w:val="a5"/>
            <w:noProof/>
          </w:rPr>
          <w:t>R2 discuss whether it is allowed for UE: r16 field is not reported for band-A, but r18 field is reported for a BC including at least band-A.</w:t>
        </w:r>
      </w:hyperlink>
    </w:p>
    <w:p w14:paraId="2F566ED3" w14:textId="5AF82532" w:rsidR="00D0573B" w:rsidRDefault="00D0573B">
      <w:pPr>
        <w:rPr>
          <w:b/>
          <w:bCs/>
        </w:rPr>
      </w:pPr>
      <w:r>
        <w:fldChar w:fldCharType="end"/>
      </w:r>
    </w:p>
    <w:p w14:paraId="69F6FEC8" w14:textId="77777777" w:rsidR="001170CE" w:rsidRPr="001170CE" w:rsidRDefault="001170CE" w:rsidP="00713C06">
      <w:pPr>
        <w:rPr>
          <w:lang w:val="en-US"/>
        </w:rPr>
      </w:pPr>
      <w:bookmarkStart w:id="93" w:name="_In-sequence_SDU_delivery"/>
      <w:bookmarkEnd w:id="93"/>
    </w:p>
    <w:sectPr w:rsidR="001170CE" w:rsidRPr="001170CE" w:rsidSect="009300C8">
      <w:foot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5DF24" w14:textId="77777777" w:rsidR="009300C8" w:rsidRDefault="009300C8">
      <w:pPr>
        <w:spacing w:after="0"/>
      </w:pPr>
      <w:r>
        <w:separator/>
      </w:r>
    </w:p>
  </w:endnote>
  <w:endnote w:type="continuationSeparator" w:id="0">
    <w:p w14:paraId="35525C6B" w14:textId="77777777" w:rsidR="009300C8" w:rsidRDefault="00930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49F8" w14:textId="77777777" w:rsidR="009300C8" w:rsidRDefault="009300C8">
      <w:pPr>
        <w:spacing w:after="0"/>
      </w:pPr>
      <w:r>
        <w:separator/>
      </w:r>
    </w:p>
  </w:footnote>
  <w:footnote w:type="continuationSeparator" w:id="0">
    <w:p w14:paraId="5F0E9FD3" w14:textId="77777777" w:rsidR="009300C8" w:rsidRDefault="009300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B273057"/>
    <w:multiLevelType w:val="hybridMultilevel"/>
    <w:tmpl w:val="A5342F66"/>
    <w:lvl w:ilvl="0" w:tplc="2130A69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6C0F90"/>
    <w:multiLevelType w:val="hybridMultilevel"/>
    <w:tmpl w:val="580E6B7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0"/>
  </w:num>
  <w:num w:numId="2" w16cid:durableId="2106264344">
    <w:abstractNumId w:val="10"/>
  </w:num>
  <w:num w:numId="3" w16cid:durableId="2058772509">
    <w:abstractNumId w:val="3"/>
  </w:num>
  <w:num w:numId="4" w16cid:durableId="1657027614">
    <w:abstractNumId w:val="7"/>
  </w:num>
  <w:num w:numId="5" w16cid:durableId="42143930">
    <w:abstractNumId w:val="2"/>
  </w:num>
  <w:num w:numId="6" w16cid:durableId="1820419331">
    <w:abstractNumId w:val="6"/>
  </w:num>
  <w:num w:numId="7" w16cid:durableId="2143577212">
    <w:abstractNumId w:val="5"/>
  </w:num>
  <w:num w:numId="8" w16cid:durableId="908924519">
    <w:abstractNumId w:val="8"/>
  </w:num>
  <w:num w:numId="9" w16cid:durableId="854926270">
    <w:abstractNumId w:val="16"/>
  </w:num>
  <w:num w:numId="10" w16cid:durableId="1525249853">
    <w:abstractNumId w:val="9"/>
  </w:num>
  <w:num w:numId="11" w16cid:durableId="863907421">
    <w:abstractNumId w:val="15"/>
  </w:num>
  <w:num w:numId="12" w16cid:durableId="1569801296">
    <w:abstractNumId w:val="12"/>
  </w:num>
  <w:num w:numId="13" w16cid:durableId="832069413">
    <w:abstractNumId w:val="14"/>
  </w:num>
  <w:num w:numId="14" w16cid:durableId="1186401110">
    <w:abstractNumId w:val="4"/>
  </w:num>
  <w:num w:numId="15" w16cid:durableId="1819763541">
    <w:abstractNumId w:val="13"/>
  </w:num>
  <w:num w:numId="16" w16cid:durableId="692418037">
    <w:abstractNumId w:val="1"/>
  </w:num>
  <w:num w:numId="17" w16cid:durableId="164195404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64FALAv4AU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2E0"/>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B49"/>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75D"/>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949"/>
    <w:rsid w:val="006C7522"/>
    <w:rsid w:val="006D04D1"/>
    <w:rsid w:val="006D08D4"/>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A33"/>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952"/>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5D1C"/>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A7FE3"/>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17E5"/>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17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58A"/>
    <w:rsid w:val="008C4958"/>
    <w:rsid w:val="008C4BAA"/>
    <w:rsid w:val="008C6AE8"/>
    <w:rsid w:val="008C7573"/>
    <w:rsid w:val="008C7854"/>
    <w:rsid w:val="008D04CB"/>
    <w:rsid w:val="008D0893"/>
    <w:rsid w:val="008D0A41"/>
    <w:rsid w:val="008D10D2"/>
    <w:rsid w:val="008D1668"/>
    <w:rsid w:val="008D1868"/>
    <w:rsid w:val="008D34F1"/>
    <w:rsid w:val="008D39D8"/>
    <w:rsid w:val="008D5273"/>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5DBB"/>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0C8"/>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4B9C"/>
    <w:rsid w:val="009A5B25"/>
    <w:rsid w:val="009A5CBA"/>
    <w:rsid w:val="009A6CC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3FD1"/>
    <w:rsid w:val="00A55067"/>
    <w:rsid w:val="00A563A0"/>
    <w:rsid w:val="00A568DF"/>
    <w:rsid w:val="00A56BD1"/>
    <w:rsid w:val="00A56CCB"/>
    <w:rsid w:val="00A57F52"/>
    <w:rsid w:val="00A61499"/>
    <w:rsid w:val="00A62A77"/>
    <w:rsid w:val="00A62F92"/>
    <w:rsid w:val="00A6326F"/>
    <w:rsid w:val="00A63483"/>
    <w:rsid w:val="00A63B68"/>
    <w:rsid w:val="00A64A40"/>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41C"/>
    <w:rsid w:val="00A92879"/>
    <w:rsid w:val="00A92BEC"/>
    <w:rsid w:val="00A93EA4"/>
    <w:rsid w:val="00A9442A"/>
    <w:rsid w:val="00A94908"/>
    <w:rsid w:val="00A959AA"/>
    <w:rsid w:val="00A95B3B"/>
    <w:rsid w:val="00A95D1A"/>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1F4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4A8"/>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3F8E"/>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598"/>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720"/>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4"/>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 w:type="paragraph" w:customStyle="1" w:styleId="References">
    <w:name w:val="References"/>
    <w:basedOn w:val="a0"/>
    <w:uiPriority w:val="99"/>
    <w:rsid w:val="007A7FE3"/>
    <w:pPr>
      <w:numPr>
        <w:numId w:val="15"/>
      </w:numPr>
      <w:tabs>
        <w:tab w:val="clear" w:pos="360"/>
      </w:tabs>
      <w:spacing w:after="80"/>
      <w:jc w:val="left"/>
    </w:pPr>
    <w:rPr>
      <w:rFonts w:ascii="Times New Roman" w:eastAsia="MS Mincho" w:hAnsi="Times New Roman"/>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32</TotalTime>
  <Pages>2</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2748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9</cp:revision>
  <cp:lastPrinted>2008-01-31T16:09:00Z</cp:lastPrinted>
  <dcterms:created xsi:type="dcterms:W3CDTF">2023-10-27T09:43:00Z</dcterms:created>
  <dcterms:modified xsi:type="dcterms:W3CDTF">2024-02-12T07:37:00Z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